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23CEB260"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76A0A">
        <w:rPr>
          <w:rFonts w:ascii="Arial" w:hAnsi="Arial" w:cs="Arial"/>
          <w:sz w:val="18"/>
          <w:szCs w:val="18"/>
        </w:rPr>
        <w:t xml:space="preserve">per 60 gg a decorrere dalla data di sottoscrizione della stessa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64BD08E7"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176A0A">
        <w:rPr>
          <w:rFonts w:ascii="Arial" w:hAnsi="Arial" w:cs="Arial"/>
          <w:sz w:val="20"/>
        </w:rPr>
        <w:t>90</w:t>
      </w:r>
      <w:r w:rsidR="000B0159">
        <w:rPr>
          <w:rFonts w:ascii="Arial" w:hAnsi="Arial" w:cs="Arial"/>
          <w:sz w:val="20"/>
        </w:rPr>
        <w:t xml:space="preserve"> (</w:t>
      </w:r>
      <w:r w:rsidR="00176A0A">
        <w:rPr>
          <w:rFonts w:ascii="Arial" w:hAnsi="Arial" w:cs="Arial"/>
          <w:sz w:val="20"/>
        </w:rPr>
        <w:t>novanta</w:t>
      </w:r>
      <w:r w:rsidR="000B0159">
        <w:rPr>
          <w:rFonts w:ascii="Arial" w:hAnsi="Arial" w:cs="Arial"/>
          <w:sz w:val="20"/>
        </w:rPr>
        <w:t>)</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D87" w14:textId="77777777" w:rsidR="00826123" w:rsidRDefault="00826123">
      <w:r>
        <w:separator/>
      </w:r>
    </w:p>
  </w:endnote>
  <w:endnote w:type="continuationSeparator" w:id="0">
    <w:p w14:paraId="252A3E77" w14:textId="77777777" w:rsidR="00826123" w:rsidRDefault="00826123">
      <w:r>
        <w:continuationSeparator/>
      </w:r>
    </w:p>
  </w:endnote>
  <w:endnote w:type="continuationNotice" w:id="1">
    <w:p w14:paraId="217C1818" w14:textId="77777777" w:rsidR="00826123" w:rsidRDefault="00826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95EC" w14:textId="77777777" w:rsidR="00826123" w:rsidRDefault="00826123">
      <w:r>
        <w:separator/>
      </w:r>
    </w:p>
  </w:footnote>
  <w:footnote w:type="continuationSeparator" w:id="0">
    <w:p w14:paraId="55451470" w14:textId="77777777" w:rsidR="00826123" w:rsidRDefault="00826123">
      <w:r>
        <w:continuationSeparator/>
      </w:r>
    </w:p>
  </w:footnote>
  <w:footnote w:type="continuationNotice" w:id="1">
    <w:p w14:paraId="38AFA933" w14:textId="77777777" w:rsidR="00826123" w:rsidRDefault="00826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76A0A"/>
    <w:rsid w:val="001819A1"/>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12BC"/>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123"/>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4123</Words>
  <Characters>23505</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2025-07-30T10:36:00Z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